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422A" w14:textId="65CAB251" w:rsidR="0050614E" w:rsidRDefault="0050614E" w:rsidP="00480933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color w:val="333333"/>
        </w:rPr>
      </w:pPr>
      <w:r>
        <w:rPr>
          <w:color w:val="333333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480933" w:rsidRPr="00480933" w14:paraId="223AC9D2" w14:textId="77777777" w:rsidTr="00480933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B2B79C" w14:textId="77777777" w:rsidR="00480933" w:rsidRPr="00480933" w:rsidRDefault="00480933" w:rsidP="00480933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/>
                <w14:ligatures w14:val="none"/>
              </w:rPr>
              <w:t>КАБІНЕТ МІНІСТРІВ УКРАЇНИ</w:t>
            </w:r>
            <w:r w:rsidRPr="004809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  <w:br/>
            </w: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/>
                <w14:ligatures w14:val="none"/>
              </w:rPr>
              <w:t>ПОСТАНОВА</w:t>
            </w:r>
          </w:p>
        </w:tc>
      </w:tr>
      <w:tr w:rsidR="00480933" w:rsidRPr="00480933" w14:paraId="4635E019" w14:textId="77777777" w:rsidTr="00480933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5D3137" w14:textId="77777777" w:rsidR="00480933" w:rsidRPr="00480933" w:rsidRDefault="00480933" w:rsidP="00480933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t>від 30 квітня 2024 р. № 476</w:t>
            </w:r>
            <w:r w:rsidRPr="004809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  <w:br/>
            </w: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t>Київ</w:t>
            </w:r>
          </w:p>
        </w:tc>
      </w:tr>
    </w:tbl>
    <w:p w14:paraId="1BE3061C" w14:textId="77777777" w:rsidR="00480933" w:rsidRPr="00480933" w:rsidRDefault="00480933" w:rsidP="00480933">
      <w:pPr>
        <w:shd w:val="clear" w:color="auto" w:fill="FFFFFF"/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0" w:name="n3"/>
      <w:bookmarkEnd w:id="0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32"/>
          <w:szCs w:val="32"/>
          <w:lang/>
          <w14:ligatures w14:val="none"/>
        </w:rPr>
        <w:t>Про затвердження переліку пріоритетних тематичних напрямів наукових досліджень і науково-технічних розробок на період до 31 грудня року, наступного після припинення або скасування воєнного стану в Україні</w:t>
      </w:r>
    </w:p>
    <w:p w14:paraId="6F6E30A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" w:name="n4"/>
      <w:bookmarkEnd w:id="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Відповідно до </w:t>
      </w:r>
      <w:hyperlink r:id="rId4" w:anchor="n32" w:tgtFrame="_blank" w:history="1">
        <w:r w:rsidRPr="00480933">
          <w:rPr>
            <w:rFonts w:ascii="Times New Roman" w:eastAsia="Times New Roman" w:hAnsi="Times New Roman" w:cs="Times New Roman"/>
            <w:color w:val="000099"/>
            <w:kern w:val="0"/>
            <w:sz w:val="24"/>
            <w:szCs w:val="24"/>
            <w:u w:val="single"/>
            <w:lang/>
            <w14:ligatures w14:val="none"/>
          </w:rPr>
          <w:t>статті 5</w:t>
        </w:r>
      </w:hyperlink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 Закону України “Про пріоритетні напрями розвитку науки і техніки” Кабінет Міністрів України </w:t>
      </w:r>
      <w:r w:rsidRPr="00480933">
        <w:rPr>
          <w:rFonts w:ascii="Times New Roman" w:eastAsia="Times New Roman" w:hAnsi="Times New Roman" w:cs="Times New Roman"/>
          <w:b/>
          <w:bCs/>
          <w:color w:val="333333"/>
          <w:spacing w:val="30"/>
          <w:kern w:val="0"/>
          <w:sz w:val="24"/>
          <w:szCs w:val="24"/>
          <w:lang/>
          <w14:ligatures w14:val="none"/>
        </w:rPr>
        <w:t>постановляє:</w:t>
      </w:r>
    </w:p>
    <w:p w14:paraId="714D06ED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" w:name="n5"/>
      <w:bookmarkEnd w:id="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1. Затвердити </w:t>
      </w:r>
      <w:hyperlink r:id="rId5" w:anchor="n14" w:history="1">
        <w:r w:rsidRPr="00480933">
          <w:rPr>
            <w:rFonts w:ascii="Times New Roman" w:eastAsia="Times New Roman" w:hAnsi="Times New Roman" w:cs="Times New Roman"/>
            <w:color w:val="006600"/>
            <w:kern w:val="0"/>
            <w:sz w:val="24"/>
            <w:szCs w:val="24"/>
            <w:u w:val="single"/>
            <w:lang/>
            <w14:ligatures w14:val="none"/>
          </w:rPr>
          <w:t>перелік пріоритетних тематичних напрямів наукових досліджень і науково-технічних розробок на період до 31 грудня року, наступного після припинення або скасування воєнного стану в Україні</w:t>
        </w:r>
      </w:hyperlink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, згідно з додатком.</w:t>
      </w:r>
    </w:p>
    <w:p w14:paraId="330F9BF9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" w:name="n6"/>
      <w:bookmarkEnd w:id="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2. Головним розпорядникам бюджетних коштів:</w:t>
      </w:r>
    </w:p>
    <w:p w14:paraId="78DF6C4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" w:name="n7"/>
      <w:bookmarkEnd w:id="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враховувати під час формування і виконання замовлення на проведення наукових досліджень і науково-технічних розробок за рахунок коштів державного бюджету згідно з </w:t>
      </w:r>
      <w:hyperlink r:id="rId6" w:anchor="n12" w:tgtFrame="_blank" w:history="1">
        <w:r w:rsidRPr="00480933">
          <w:rPr>
            <w:rFonts w:ascii="Times New Roman" w:eastAsia="Times New Roman" w:hAnsi="Times New Roman" w:cs="Times New Roman"/>
            <w:color w:val="000099"/>
            <w:kern w:val="0"/>
            <w:sz w:val="24"/>
            <w:szCs w:val="24"/>
            <w:u w:val="single"/>
            <w:lang/>
            <w14:ligatures w14:val="none"/>
          </w:rPr>
          <w:t>Порядком</w:t>
        </w:r>
      </w:hyperlink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, затвердженим постановою Кабінету Міністрів України від 11 січня 2018 р. № 13 (Офіційний вісник України, 2018 р., № 8, ст. 313), напрями, </w:t>
      </w:r>
      <w:hyperlink r:id="rId7" w:anchor="n14" w:history="1">
        <w:r w:rsidRPr="00480933">
          <w:rPr>
            <w:rFonts w:ascii="Times New Roman" w:eastAsia="Times New Roman" w:hAnsi="Times New Roman" w:cs="Times New Roman"/>
            <w:color w:val="006600"/>
            <w:kern w:val="0"/>
            <w:sz w:val="24"/>
            <w:szCs w:val="24"/>
            <w:u w:val="single"/>
            <w:lang/>
            <w14:ligatures w14:val="none"/>
          </w:rPr>
          <w:t>перелік</w:t>
        </w:r>
      </w:hyperlink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 яких затверджений цією постановою, надаючи перевагу науковим дослідженням і розробкам, результати яких мають подвійне використання;</w:t>
      </w:r>
    </w:p>
    <w:p w14:paraId="2E4900C9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" w:name="n8"/>
      <w:bookmarkEnd w:id="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подавати щороку до 15 березня Міністерству освіти і науки інформацію про результати реалізації зазначених напрямів для її узагальнення.</w:t>
      </w:r>
    </w:p>
    <w:p w14:paraId="41AFEC92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" w:name="n9"/>
      <w:bookmarkEnd w:id="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3. Міністерству освіти і науки:</w:t>
      </w:r>
    </w:p>
    <w:p w14:paraId="151376C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" w:name="n10"/>
      <w:bookmarkEnd w:id="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забезпечити проведення системного моніторингу реалізації напрямів, </w:t>
      </w:r>
      <w:hyperlink r:id="rId8" w:anchor="n14" w:history="1">
        <w:r w:rsidRPr="00480933">
          <w:rPr>
            <w:rFonts w:ascii="Times New Roman" w:eastAsia="Times New Roman" w:hAnsi="Times New Roman" w:cs="Times New Roman"/>
            <w:color w:val="006600"/>
            <w:kern w:val="0"/>
            <w:sz w:val="24"/>
            <w:szCs w:val="24"/>
            <w:u w:val="single"/>
            <w:lang/>
            <w14:ligatures w14:val="none"/>
          </w:rPr>
          <w:t>перелік</w:t>
        </w:r>
      </w:hyperlink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 яких затверджений цією постановою, головними розпорядниками бюджетних коштів;</w:t>
      </w:r>
    </w:p>
    <w:p w14:paraId="26C1878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" w:name="n11"/>
      <w:bookmarkEnd w:id="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інформувати Кабінет Міністрів України щороку до 15 червня про результати проведення зазначеного моніторингу.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480933" w:rsidRPr="00480933" w14:paraId="080C0C06" w14:textId="77777777" w:rsidTr="00480933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7996A4" w14:textId="77777777" w:rsidR="00480933" w:rsidRPr="00480933" w:rsidRDefault="00480933" w:rsidP="00480933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bookmarkStart w:id="9" w:name="n12"/>
            <w:bookmarkEnd w:id="9"/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t>Прем'єр-міністр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9505CA" w14:textId="77777777" w:rsidR="00480933" w:rsidRPr="00480933" w:rsidRDefault="00480933" w:rsidP="00480933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t>Д. ШМИГАЛЬ</w:t>
            </w:r>
          </w:p>
        </w:tc>
      </w:tr>
      <w:tr w:rsidR="00480933" w:rsidRPr="00480933" w14:paraId="213583B9" w14:textId="77777777" w:rsidTr="0048093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5FC8C" w14:textId="77777777" w:rsidR="00480933" w:rsidRPr="00480933" w:rsidRDefault="00480933" w:rsidP="00480933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t>Інд. 67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2673CF" w14:textId="77777777" w:rsidR="00480933" w:rsidRPr="00480933" w:rsidRDefault="00480933" w:rsidP="00480933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/>
                <w14:ligatures w14:val="none"/>
              </w:rPr>
              <w:br/>
            </w:r>
          </w:p>
        </w:tc>
      </w:tr>
    </w:tbl>
    <w:p w14:paraId="1D0B1A8A" w14:textId="77777777" w:rsidR="00480933" w:rsidRPr="00480933" w:rsidRDefault="00480933" w:rsidP="004809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pict w14:anchorId="3A96F145">
          <v:rect id="_x0000_i1025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480933" w:rsidRPr="00480933" w14:paraId="2D6D93DD" w14:textId="77777777" w:rsidTr="00480933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05DACD" w14:textId="77777777" w:rsidR="00480933" w:rsidRPr="00480933" w:rsidRDefault="00480933" w:rsidP="00480933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bookmarkStart w:id="10" w:name="n92"/>
            <w:bookmarkStart w:id="11" w:name="n13"/>
            <w:bookmarkEnd w:id="10"/>
            <w:bookmarkEnd w:id="11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A7CCED" w14:textId="77777777" w:rsidR="00480933" w:rsidRPr="00480933" w:rsidRDefault="00480933" w:rsidP="0048093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4809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  <w:t>Додаток</w:t>
            </w:r>
            <w:r w:rsidRPr="004809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  <w:br/>
              <w:t>до постанови Кабінету Міністрів України</w:t>
            </w:r>
            <w:r w:rsidRPr="004809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  <w:br/>
              <w:t>від 30 квітня 2024 р. № 476</w:t>
            </w:r>
          </w:p>
        </w:tc>
      </w:tr>
    </w:tbl>
    <w:p w14:paraId="5FCE511C" w14:textId="77777777" w:rsidR="00480933" w:rsidRPr="00480933" w:rsidRDefault="00480933" w:rsidP="00480933">
      <w:pPr>
        <w:shd w:val="clear" w:color="auto" w:fill="FFFFFF"/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2" w:name="n14"/>
      <w:bookmarkEnd w:id="12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32"/>
          <w:szCs w:val="32"/>
          <w:lang/>
          <w14:ligatures w14:val="none"/>
        </w:rPr>
        <w:t>ПЕРЕЛІК</w:t>
      </w:r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br/>
      </w:r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32"/>
          <w:szCs w:val="32"/>
          <w:lang/>
          <w14:ligatures w14:val="none"/>
        </w:rPr>
        <w:t>пріоритетних тематичних напрямів наукових досліджень і науково-технічних розробок на період до 31 грудня року, наступного після припинення або скасування воєнного стану в Україні</w:t>
      </w:r>
    </w:p>
    <w:p w14:paraId="090A987C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3" w:name="n15"/>
      <w:bookmarkEnd w:id="13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Національна безпека і оборона</w:t>
      </w:r>
    </w:p>
    <w:p w14:paraId="7688837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4" w:name="n16"/>
      <w:bookmarkEnd w:id="1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Нові та модернізовані зразки зброї, боєприпасів, військової та спеціальної техніки, високоточних засобів ураження, систем протиповітряної оборони, безекіпажних платформ і ударної робототехніки з перспективними тактико-технічними характеристиками</w:t>
      </w:r>
    </w:p>
    <w:p w14:paraId="6E27814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5" w:name="n17"/>
      <w:bookmarkEnd w:id="1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Інформаційно-комунікаційні та радіоелектронні системи та технології для забезпечення національної безпеки і оборони. Інформаційна безпека та кібербезпека</w:t>
      </w:r>
    </w:p>
    <w:p w14:paraId="7C9885E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6" w:name="n18"/>
      <w:bookmarkEnd w:id="1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створення радіотехнічних систем і комплектувальних виробів до них, приладів радіолокації, засобів радіоелектронної боротьби та технічної розвідки</w:t>
      </w:r>
    </w:p>
    <w:p w14:paraId="0255861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7" w:name="n19"/>
      <w:bookmarkEnd w:id="1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Інтелектуальні інформаційно-керуючі технології діагностики, експлуатації та ремонту військової та спеціальної техніки</w:t>
      </w:r>
    </w:p>
    <w:p w14:paraId="26053F5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8" w:name="n20"/>
      <w:bookmarkEnd w:id="1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кодування, передачі та отримання (автоматичного розпізнавання, обробки, аналізу, генерації, візуалізації) інформації. Технології криптографічного захисту інформації</w:t>
      </w:r>
    </w:p>
    <w:p w14:paraId="325B246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19" w:name="n21"/>
      <w:bookmarkEnd w:id="1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Методи та засоби інформаційно-аналітичного та нормативно- методичного забезпечення процесів прийняття рішень у сфері національної безпеки і оборони. Автоматизовані системи управління</w:t>
      </w:r>
    </w:p>
    <w:p w14:paraId="6D8F63D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0" w:name="n22"/>
      <w:bookmarkEnd w:id="2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Методи та засоби запобігання виникненню надзвичайних ситуацій, реагування на них та ліквідації наслідків таких ситуацій і знешкодження засобів ураження</w:t>
      </w:r>
    </w:p>
    <w:p w14:paraId="30F54D2D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1" w:name="n23"/>
      <w:bookmarkEnd w:id="2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Екологічно збалансована енергетична безпека</w:t>
      </w:r>
    </w:p>
    <w:p w14:paraId="4D9E81C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2" w:name="n24"/>
      <w:bookmarkEnd w:id="2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Методи і засоби тактичної медицини і медицини катастроф</w:t>
      </w:r>
    </w:p>
    <w:p w14:paraId="54E48AC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3" w:name="n25"/>
      <w:bookmarkEnd w:id="2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Хімічна, біологічна, радіаційна, ядерна безпека та захист</w:t>
      </w:r>
    </w:p>
    <w:p w14:paraId="5EABC615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4" w:name="n26"/>
      <w:bookmarkEnd w:id="24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 розвитку суспільства і держави</w:t>
      </w:r>
    </w:p>
    <w:p w14:paraId="7EDB07C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5" w:name="n27"/>
      <w:bookmarkEnd w:id="2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Дослідження новітнiх проблем механіки суцільного середовища і механіки машин</w:t>
      </w:r>
    </w:p>
    <w:p w14:paraId="33C5D8E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6" w:name="n28"/>
      <w:bookmarkEnd w:id="2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Розвиток новітніх галузей математики та математичної статистики, математичного моделювання актуальних проблем природничих та соціо-гуманітарних наук</w:t>
      </w:r>
    </w:p>
    <w:p w14:paraId="481DC7CA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7" w:name="n29"/>
      <w:bookmarkEnd w:id="2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Фундаментальні проблеми фізики, астрофізики, матеріалознавства, атомної енергетики та радіаційної безпеки</w:t>
      </w:r>
    </w:p>
    <w:p w14:paraId="398675FC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8" w:name="n30"/>
      <w:bookmarkEnd w:id="2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lastRenderedPageBreak/>
        <w:t>Розвиток новітніх уявлень про хімічну будову, реакційну здатність, елементарні стадії перебігу хімічних реакцій з метою створення наукових принципів цілеспрямованого управління такими процесами, функціоналізації хімічних сполук, речовин і матеріалів, розробки та оптимізації хімічних методів і технологій</w:t>
      </w:r>
    </w:p>
    <w:p w14:paraId="76692A12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29" w:name="n31"/>
      <w:bookmarkEnd w:id="2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Розвиток фундаментальних основ молекулярно-генетичних, біофізичних i біохімічних механізмів регуляції клітинних та системних взаємодій за фізіологічних та патологічних станів</w:t>
      </w:r>
    </w:p>
    <w:p w14:paraId="3B7FF976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0" w:name="n32"/>
      <w:bookmarkEnd w:id="3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Фундаментальні дослідження в науках про Землю та проблемах геоекології</w:t>
      </w:r>
    </w:p>
    <w:p w14:paraId="379206B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1" w:name="n33"/>
      <w:bookmarkEnd w:id="3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Фундаментальні засади функціонування та адаптації біологічних систем (флори i фауни) різних рівнів організації за умов дії різноманітних зовнішніх чинників</w:t>
      </w:r>
    </w:p>
    <w:p w14:paraId="7817CAE7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2" w:name="n34"/>
      <w:bookmarkEnd w:id="3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Фундаментальні проблеми розвитку технологій в авіаційній та ракетно-космічній галузі</w:t>
      </w:r>
    </w:p>
    <w:p w14:paraId="43D003D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3" w:name="n35"/>
      <w:bookmarkEnd w:id="3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Національні інтереси України в контексті геополітичних проблем сучасного глобалізованого світу та формування нового міжнародного правопорядку. Розвиток національної правової системи в контексті європейської та євроатлантичної інтеграції України</w:t>
      </w:r>
    </w:p>
    <w:p w14:paraId="1E31308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4" w:name="n36"/>
      <w:bookmarkEnd w:id="3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Актуальні проблеми захисту прав людини і громадянина в умовах воєнного стану</w:t>
      </w:r>
    </w:p>
    <w:p w14:paraId="6020169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5" w:name="n37"/>
      <w:bookmarkEnd w:id="3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Соціально-психологічна підтримка людини в умовах суспільних змін і загроз безпеки життя</w:t>
      </w:r>
    </w:p>
    <w:p w14:paraId="4A10883C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6" w:name="n38"/>
      <w:bookmarkEnd w:id="3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Прогнозування актуальних викликів і загроз розвитку економіки та її галузей на середньо- та довгострокову перспективи, демографічного розвитку ситуації в Україні та руху робочої сили і їх впливу на реальний сектор економіки</w:t>
      </w:r>
    </w:p>
    <w:p w14:paraId="774741A8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7" w:name="n39"/>
      <w:bookmarkEnd w:id="3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Гармонізація інтересів і потреб особистості із запитами суспільства на ринку праці, дуальна освіта, прогнозування щодо кваліфікації та компетенцій, необхідних для ринку робочої сили в Україні у середньо- та довгостроковій перспективах</w:t>
      </w:r>
    </w:p>
    <w:p w14:paraId="03AEBE66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8" w:name="n40"/>
      <w:bookmarkEnd w:id="3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навчання та соціалізації дітей і молоді з особливими освітніми потребами у контексті створення суспільства рівних можливостей</w:t>
      </w:r>
    </w:p>
    <w:p w14:paraId="61CB05FA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39" w:name="n41"/>
      <w:bookmarkEnd w:id="3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Проблеми гуманітарної консолідації українського суспільства та функціонування української мови як державної</w:t>
      </w:r>
    </w:p>
    <w:p w14:paraId="44B1272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0" w:name="n42"/>
      <w:bookmarkEnd w:id="4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Збереження історико-культурної спадщини та модернізація архівної справи</w:t>
      </w:r>
    </w:p>
    <w:p w14:paraId="5B36F8A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1" w:name="n43"/>
      <w:bookmarkEnd w:id="4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Наукові засади забезпечення сталого розвитку територіальних громад та територій, інструменти забезпечення громад соціальними послугами, розвиток сімейних форм виховання</w:t>
      </w:r>
    </w:p>
    <w:p w14:paraId="66ECF195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2" w:name="n44"/>
      <w:bookmarkEnd w:id="4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Прогнозно-аналітичні дослідження фінансової стійкості системи загальнообов’язкового державного соціального страхування і системи пенсійного забезпечення та запровадження системи загальнообов’язкового накопичувального пенсійного забезпечення</w:t>
      </w:r>
    </w:p>
    <w:p w14:paraId="2AFCCAB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3" w:name="n45"/>
      <w:bookmarkEnd w:id="4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Розвиток ринку надання соціальних послуг для громадян похилого віку та підходів з підтриманого проживання</w:t>
      </w:r>
    </w:p>
    <w:p w14:paraId="3EF9329C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4" w:name="n46"/>
      <w:bookmarkEnd w:id="44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Інформаційні та комунікаційні технології</w:t>
      </w:r>
    </w:p>
    <w:p w14:paraId="79174EA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5" w:name="n47"/>
      <w:bookmarkEnd w:id="4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Системи штучного інтелекту</w:t>
      </w:r>
    </w:p>
    <w:p w14:paraId="0E306D07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6" w:name="n48"/>
      <w:bookmarkEnd w:id="4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Технологічні засоби та сервіси програмного інжинірингу</w:t>
      </w:r>
    </w:p>
    <w:p w14:paraId="72D366C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7" w:name="n49"/>
      <w:bookmarkEnd w:id="4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lastRenderedPageBreak/>
        <w:t>Кіберфізичні системи. Інтернет речей. Робототехніка. Комп’ютерна обробка сигналів різних видів та походження</w:t>
      </w:r>
    </w:p>
    <w:p w14:paraId="331BCEB2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8" w:name="n50"/>
      <w:bookmarkEnd w:id="4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Глибоке навчання, великі дані (big data), нейроподібні мережі</w:t>
      </w:r>
    </w:p>
    <w:p w14:paraId="4CD53ED5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49" w:name="n51"/>
      <w:bookmarkEnd w:id="4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Інформаційно-комунікаційні системи та мережі</w:t>
      </w:r>
    </w:p>
    <w:p w14:paraId="2BD845C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0" w:name="n52"/>
      <w:bookmarkEnd w:id="5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Суперкомп’ютерні комплекси. Моделювання та розв’язання надскладних задач. Хмарні обчислення</w:t>
      </w:r>
    </w:p>
    <w:p w14:paraId="22F89E75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1" w:name="n53"/>
      <w:bookmarkEnd w:id="5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Інтелектуальні інтерактивні інформаційно-аналітичні системи. Інтегровані системи баз даних та знань. Національні інформаційні ресурси</w:t>
      </w:r>
    </w:p>
    <w:p w14:paraId="36E3C1D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2" w:name="n54"/>
      <w:bookmarkEnd w:id="5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Цифровізація соціально-гуманітарних процесів та освіта в цифрову епоху</w:t>
      </w:r>
    </w:p>
    <w:p w14:paraId="5A8F94E4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3" w:name="n55"/>
      <w:bookmarkEnd w:id="53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Енергетика та енергоефективність</w:t>
      </w:r>
    </w:p>
    <w:p w14:paraId="514FD57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4" w:name="n56"/>
      <w:bookmarkEnd w:id="5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Системи генерації і транспортування електричної та теплової енергії</w:t>
      </w:r>
    </w:p>
    <w:p w14:paraId="7EBDA3AD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5" w:name="n57"/>
      <w:bookmarkEnd w:id="5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Паливні бази, системи транспортування та використання</w:t>
      </w:r>
    </w:p>
    <w:p w14:paraId="4C3D157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6" w:name="n58"/>
      <w:bookmarkEnd w:id="5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розроблення та використання нових видів палива, відновлюваних і альтернативних джерел енергії та видів палива</w:t>
      </w:r>
    </w:p>
    <w:p w14:paraId="5E6C519D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7" w:name="n59"/>
      <w:bookmarkEnd w:id="5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Енергоефективність і енергозбереження, ринки енергоресурсів</w:t>
      </w:r>
    </w:p>
    <w:p w14:paraId="7C83CB66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8" w:name="n60"/>
      <w:bookmarkEnd w:id="5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Енергоменеджмент, інформаційно-аналітичне та нормативно-методичне забезпечення енергетичної галузі</w:t>
      </w:r>
    </w:p>
    <w:p w14:paraId="671F0050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59" w:name="n61"/>
      <w:bookmarkEnd w:id="59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Раціональне природокористування</w:t>
      </w:r>
    </w:p>
    <w:p w14:paraId="2B5BEB6F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0" w:name="n62"/>
      <w:bookmarkEnd w:id="6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Моделювання та прогнозування стану навколишнього природного середовища, технології подолання негативних впливів на нього</w:t>
      </w:r>
    </w:p>
    <w:p w14:paraId="0063CA29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1" w:name="n63"/>
      <w:bookmarkEnd w:id="6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моніторингу екологічного стану природних та штучних екосистем</w:t>
      </w:r>
    </w:p>
    <w:p w14:paraId="0F4F294A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2" w:name="n64"/>
      <w:bookmarkEnd w:id="6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моніторингу стану і раціонального використання водних біоресурсів, біотехнології аква- та марикультури</w:t>
      </w:r>
    </w:p>
    <w:p w14:paraId="6AEFBDA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3" w:name="n65"/>
      <w:bookmarkEnd w:id="6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Інноваційні технології збереження та збалансованого використання природних (мінерально-сировинних, земельних, ґрунтових, водних та біотичних) ресурсів</w:t>
      </w:r>
    </w:p>
    <w:p w14:paraId="0A4C43C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4" w:name="n66"/>
      <w:bookmarkEnd w:id="6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Оцінювання та інтегроване управління водними ресурсами, технології водозабезпечення та очищення води, доступність питної води</w:t>
      </w:r>
    </w:p>
    <w:p w14:paraId="2AD05872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5" w:name="n67"/>
      <w:bookmarkEnd w:id="6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Відтворення природних комплексів та об’єктів, охорона природно-заповідного фонду, збереження біорізноманіття природних та штучних екосистем, генетична паспортизація цінних об’єктів</w:t>
      </w:r>
    </w:p>
    <w:p w14:paraId="15DDE7A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6" w:name="n68"/>
      <w:bookmarkEnd w:id="6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Екологічно збалансоване та ефективне землекористування</w:t>
      </w:r>
    </w:p>
    <w:p w14:paraId="7D0BD9A3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7" w:name="n69"/>
      <w:bookmarkEnd w:id="6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циркулярної економіки</w:t>
      </w:r>
    </w:p>
    <w:p w14:paraId="4AA92D5D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8" w:name="n70"/>
      <w:bookmarkEnd w:id="68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Науки про життя, нові технології профілактики та лікування найпоширеніших захворювань</w:t>
      </w:r>
    </w:p>
    <w:p w14:paraId="573E1908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69" w:name="n71"/>
      <w:bookmarkEnd w:id="6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Етіологія, патогенез, лікування, профілактика неінфекційних хвороб</w:t>
      </w:r>
    </w:p>
    <w:p w14:paraId="0453365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0" w:name="n72"/>
      <w:bookmarkEnd w:id="7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Етіологія, патогенез, лікування, профілактика інфекційних хвороб</w:t>
      </w:r>
    </w:p>
    <w:p w14:paraId="0758EA7F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1" w:name="n73"/>
      <w:bookmarkEnd w:id="71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Створення нових лікарських засобів та виробів медичного призначення</w:t>
      </w:r>
    </w:p>
    <w:p w14:paraId="7928CEC5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2" w:name="n74"/>
      <w:bookmarkEnd w:id="7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Нові методи та технології діагностики</w:t>
      </w:r>
    </w:p>
    <w:p w14:paraId="2D914418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3" w:name="n75"/>
      <w:bookmarkEnd w:id="7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lastRenderedPageBreak/>
        <w:t>Мініінвазивна, високотехнологічна, реконструктивна хірургія та трансплантологія</w:t>
      </w:r>
    </w:p>
    <w:p w14:paraId="38EE0F2E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4" w:name="n76"/>
      <w:bookmarkEnd w:id="7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Розроблення сучасних методів та технологій реабілітації для відновлення фізичного та психічного здоров’я військовослужбовців, зокрема з числа ветеранів війни, та цивільних осіб, постраждалих внаслідок воєнних дій</w:t>
      </w:r>
    </w:p>
    <w:p w14:paraId="1FC935F9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5" w:name="n77"/>
      <w:bookmarkEnd w:id="7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Інформаційні технології в медицині</w:t>
      </w:r>
    </w:p>
    <w:p w14:paraId="05285845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6" w:name="n78"/>
      <w:bookmarkEnd w:id="7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Конструювання та комплектування протезно-ортопедичних виробів залежно від функціональних можливостей людини, визначення витрат, що пов'язані з виробництвом та/або придбанням таких виробів</w:t>
      </w:r>
    </w:p>
    <w:p w14:paraId="77CEF52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7" w:name="n79"/>
      <w:bookmarkEnd w:id="7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Біотехнологічні та генетичні методи і технології селекції, розведення, вирощування та промислової переробки тварин для отримання високоякісної та безпечної продукції</w:t>
      </w:r>
    </w:p>
    <w:p w14:paraId="599ED75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8" w:name="n80"/>
      <w:bookmarkEnd w:id="7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Методи і технології діагностики, лікування та профілактики захворювань тварин, розробка ветеринарних лікарських засобів</w:t>
      </w:r>
    </w:p>
    <w:p w14:paraId="3DB720A8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79" w:name="n81"/>
      <w:bookmarkEnd w:id="7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вирощування сільськогосподарських рослин та виведення їх нових сортів і гібридів</w:t>
      </w:r>
    </w:p>
    <w:p w14:paraId="356CABE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0" w:name="n82"/>
      <w:bookmarkEnd w:id="80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Технології виробництва харчових продуктів для функціонування стійкої та ефективної продовольчої системи</w:t>
      </w:r>
    </w:p>
    <w:p w14:paraId="250B2205" w14:textId="77777777" w:rsidR="00480933" w:rsidRPr="00480933" w:rsidRDefault="00480933" w:rsidP="00480933">
      <w:pPr>
        <w:shd w:val="clear" w:color="auto" w:fill="FFFFFF"/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1" w:name="n83"/>
      <w:bookmarkEnd w:id="81"/>
      <w:r w:rsidRPr="0048093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/>
          <w14:ligatures w14:val="none"/>
        </w:rPr>
        <w:t>Нові речовини і матеріали</w:t>
      </w:r>
    </w:p>
    <w:p w14:paraId="3724EBA4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2" w:name="n84"/>
      <w:bookmarkEnd w:id="82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Нові матеріали та речовини спеціального призначення з унікальними властивостями і функціональними характеристиками та технології їх виготовлення</w:t>
      </w:r>
    </w:p>
    <w:p w14:paraId="1E70B38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3" w:name="n85"/>
      <w:bookmarkEnd w:id="83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Інноваційні металеві матеріали та вироби з них</w:t>
      </w:r>
    </w:p>
    <w:p w14:paraId="64A4A17A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4" w:name="n86"/>
      <w:bookmarkEnd w:id="84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Керамічні та композитні матеріали і покриття для екстремальних умов використання</w:t>
      </w:r>
    </w:p>
    <w:p w14:paraId="1AD3B830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5" w:name="n87"/>
      <w:bookmarkEnd w:id="85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Оптичні, радіопрозорі, електричні, магнітні, напів- та надпровідні, низьковимірні і розумні матеріали та системи і прилади на їх основі</w:t>
      </w:r>
    </w:p>
    <w:p w14:paraId="474DCE5F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6" w:name="n88"/>
      <w:bookmarkEnd w:id="86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Речовини, матеріали та процеси хімічного виробництва</w:t>
      </w:r>
    </w:p>
    <w:p w14:paraId="0EF2F08D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7" w:name="n89"/>
      <w:bookmarkEnd w:id="87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Біоматеріали та матеріали медичного призначення</w:t>
      </w:r>
    </w:p>
    <w:p w14:paraId="19030321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8" w:name="n90"/>
      <w:bookmarkEnd w:id="88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Матеріали і обладнання для стратегічно важливих галузей економіки</w:t>
      </w:r>
    </w:p>
    <w:p w14:paraId="239BBB6B" w14:textId="77777777" w:rsidR="00480933" w:rsidRPr="00480933" w:rsidRDefault="00480933" w:rsidP="0048093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</w:pPr>
      <w:bookmarkStart w:id="89" w:name="n91"/>
      <w:bookmarkEnd w:id="89"/>
      <w:r w:rsidRPr="00480933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/>
          <w14:ligatures w14:val="none"/>
        </w:rPr>
        <w:t>Нові ресурсозберігаючі, енергоощадні та екологічно безпечні процеси одержання конкурентоспроможних речовин і матеріалів та виробів із них</w:t>
      </w:r>
    </w:p>
    <w:p w14:paraId="5322A3EC" w14:textId="77777777" w:rsidR="00974F6C" w:rsidRDefault="00974F6C"/>
    <w:sectPr w:rsidR="00974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9C1"/>
    <w:rsid w:val="001640C9"/>
    <w:rsid w:val="00286CBF"/>
    <w:rsid w:val="002D6435"/>
    <w:rsid w:val="00480933"/>
    <w:rsid w:val="0050614E"/>
    <w:rsid w:val="00507762"/>
    <w:rsid w:val="005D36EE"/>
    <w:rsid w:val="006E4713"/>
    <w:rsid w:val="0079126B"/>
    <w:rsid w:val="00805A31"/>
    <w:rsid w:val="00974F6C"/>
    <w:rsid w:val="00E00D3B"/>
    <w:rsid w:val="00F6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6124C-F947-4AB6-8D6A-0C8C26C1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9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19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9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9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19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19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19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19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19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9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1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19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19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19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19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19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19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19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19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19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19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19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19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19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19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19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19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19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619C1"/>
    <w:rPr>
      <w:b/>
      <w:bCs/>
      <w:smallCaps/>
      <w:color w:val="2F5496" w:themeColor="accent1" w:themeShade="BF"/>
      <w:spacing w:val="5"/>
    </w:rPr>
  </w:style>
  <w:style w:type="paragraph" w:customStyle="1" w:styleId="rvps6">
    <w:name w:val="rvps6"/>
    <w:basedOn w:val="a"/>
    <w:rsid w:val="00506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rvts23">
    <w:name w:val="rvts23"/>
    <w:basedOn w:val="a0"/>
    <w:rsid w:val="0050614E"/>
  </w:style>
  <w:style w:type="paragraph" w:customStyle="1" w:styleId="rvps7">
    <w:name w:val="rvps7"/>
    <w:basedOn w:val="a"/>
    <w:rsid w:val="00506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rvts15">
    <w:name w:val="rvts15"/>
    <w:basedOn w:val="a0"/>
    <w:rsid w:val="0050614E"/>
  </w:style>
  <w:style w:type="paragraph" w:customStyle="1" w:styleId="rvps2">
    <w:name w:val="rvps2"/>
    <w:basedOn w:val="a"/>
    <w:rsid w:val="00506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4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91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2733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2524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63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76-2024-%D0%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476-2024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3-2018-%D0%BF" TargetMode="External"/><Relationship Id="rId5" Type="http://schemas.openxmlformats.org/officeDocument/2006/relationships/hyperlink" Target="https://zakon.rada.gov.ua/laws/show/476-2024-%D0%B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akon.rada.gov.ua/laws/show/2623-1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1602</Words>
  <Characters>9136</Characters>
  <Application>Microsoft Office Word</Application>
  <DocSecurity>0</DocSecurity>
  <Lines>76</Lines>
  <Paragraphs>21</Paragraphs>
  <ScaleCrop>false</ScaleCrop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2025-03-11T14:22:00Z</dcterms:created>
  <dcterms:modified xsi:type="dcterms:W3CDTF">2025-03-11T14:35:00Z</dcterms:modified>
</cp:coreProperties>
</file>